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59814FC4" w:rsidR="00202E2D" w:rsidRPr="009F1AF9" w:rsidRDefault="00DE6AE6" w:rsidP="009F1AF9">
      <w:pPr>
        <w:rPr>
          <w:rFonts w:ascii="Arial" w:hAnsi="Arial" w:cs="Arial"/>
        </w:rPr>
      </w:pPr>
      <w:r>
        <w:rPr>
          <w:rFonts w:ascii="Arial" w:hAnsi="Arial" w:cs="Arial"/>
        </w:rPr>
        <w:t xml:space="preserve">DANEHILL </w:t>
      </w:r>
      <w:r w:rsidR="005F3E28">
        <w:rPr>
          <w:rFonts w:ascii="Arial" w:hAnsi="Arial" w:cs="Arial"/>
        </w:rPr>
        <w:t xml:space="preserve">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276E21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DE6AE6">
              <w:rPr>
                <w:noProof/>
                <w:webHidden/>
              </w:rPr>
              <w:t>2</w:t>
            </w:r>
            <w:r w:rsidR="002B40EB">
              <w:rPr>
                <w:noProof/>
                <w:webHidden/>
              </w:rPr>
              <w:fldChar w:fldCharType="end"/>
            </w:r>
          </w:hyperlink>
        </w:p>
        <w:p w14:paraId="7D7419AD" w14:textId="7A88711F" w:rsidR="002B40EB" w:rsidRDefault="00DE6AE6">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Pr>
                <w:noProof/>
                <w:webHidden/>
              </w:rPr>
              <w:t>3</w:t>
            </w:r>
            <w:r w:rsidR="002B40EB">
              <w:rPr>
                <w:noProof/>
                <w:webHidden/>
              </w:rPr>
              <w:fldChar w:fldCharType="end"/>
            </w:r>
          </w:hyperlink>
        </w:p>
        <w:p w14:paraId="6A0A0C8A" w14:textId="4B7714E0" w:rsidR="002B40EB" w:rsidRDefault="00DE6AE6">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Pr>
                <w:noProof/>
                <w:webHidden/>
              </w:rPr>
              <w:t>4</w:t>
            </w:r>
            <w:r w:rsidR="002B40EB">
              <w:rPr>
                <w:noProof/>
                <w:webHidden/>
              </w:rPr>
              <w:fldChar w:fldCharType="end"/>
            </w:r>
          </w:hyperlink>
        </w:p>
        <w:p w14:paraId="1E8FEC5E" w14:textId="75B4BB89" w:rsidR="002B40EB" w:rsidRDefault="00DE6AE6">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Pr>
                <w:noProof/>
                <w:webHidden/>
              </w:rPr>
              <w:t>5</w:t>
            </w:r>
            <w:r w:rsidR="002B40EB">
              <w:rPr>
                <w:noProof/>
                <w:webHidden/>
              </w:rPr>
              <w:fldChar w:fldCharType="end"/>
            </w:r>
          </w:hyperlink>
        </w:p>
        <w:p w14:paraId="126B8AA6" w14:textId="4ED5DAD3" w:rsidR="002B40EB" w:rsidRDefault="00DE6AE6">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Pr>
                <w:noProof/>
                <w:webHidden/>
              </w:rPr>
              <w:t>6</w:t>
            </w:r>
            <w:r w:rsidR="002B40EB">
              <w:rPr>
                <w:noProof/>
                <w:webHidden/>
              </w:rPr>
              <w:fldChar w:fldCharType="end"/>
            </w:r>
          </w:hyperlink>
        </w:p>
        <w:p w14:paraId="42B2B422" w14:textId="054CEEC8" w:rsidR="002B40EB" w:rsidRDefault="00DE6AE6">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Pr>
                <w:noProof/>
                <w:webHidden/>
              </w:rPr>
              <w:t>8</w:t>
            </w:r>
            <w:r w:rsidR="002B40EB">
              <w:rPr>
                <w:noProof/>
                <w:webHidden/>
              </w:rPr>
              <w:fldChar w:fldCharType="end"/>
            </w:r>
          </w:hyperlink>
        </w:p>
        <w:p w14:paraId="5CB54E2C" w14:textId="55798C8F" w:rsidR="002B40EB" w:rsidRDefault="00DE6AE6">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Pr>
                <w:noProof/>
                <w:webHidden/>
              </w:rPr>
              <w:t>9</w:t>
            </w:r>
            <w:r w:rsidR="002B40EB">
              <w:rPr>
                <w:noProof/>
                <w:webHidden/>
              </w:rPr>
              <w:fldChar w:fldCharType="end"/>
            </w:r>
          </w:hyperlink>
        </w:p>
        <w:p w14:paraId="3284D550" w14:textId="5A66C8E1" w:rsidR="002B40EB" w:rsidRDefault="00DE6AE6">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Pr>
                <w:noProof/>
                <w:webHidden/>
              </w:rPr>
              <w:t>10</w:t>
            </w:r>
            <w:r w:rsidR="002B40EB">
              <w:rPr>
                <w:noProof/>
                <w:webHidden/>
              </w:rPr>
              <w:fldChar w:fldCharType="end"/>
            </w:r>
          </w:hyperlink>
        </w:p>
        <w:p w14:paraId="2CF8240C" w14:textId="7CE846A7" w:rsidR="002B40EB" w:rsidRDefault="00DE6AE6">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Pr>
                <w:noProof/>
                <w:webHidden/>
              </w:rPr>
              <w:t>11</w:t>
            </w:r>
            <w:r w:rsidR="002B40EB">
              <w:rPr>
                <w:noProof/>
                <w:webHidden/>
              </w:rPr>
              <w:fldChar w:fldCharType="end"/>
            </w:r>
          </w:hyperlink>
        </w:p>
        <w:p w14:paraId="468BACDC" w14:textId="64B5E358" w:rsidR="002B40EB" w:rsidRDefault="00DE6AE6">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Pr>
                <w:noProof/>
                <w:webHidden/>
              </w:rPr>
              <w:t>11</w:t>
            </w:r>
            <w:r w:rsidR="002B40EB">
              <w:rPr>
                <w:noProof/>
                <w:webHidden/>
              </w:rPr>
              <w:fldChar w:fldCharType="end"/>
            </w:r>
          </w:hyperlink>
        </w:p>
        <w:p w14:paraId="77735F37" w14:textId="0B34C1AA" w:rsidR="002B40EB" w:rsidRDefault="00DE6AE6">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Pr>
                <w:noProof/>
                <w:webHidden/>
              </w:rPr>
              <w:t>11</w:t>
            </w:r>
            <w:r w:rsidR="002B40EB">
              <w:rPr>
                <w:noProof/>
                <w:webHidden/>
              </w:rPr>
              <w:fldChar w:fldCharType="end"/>
            </w:r>
          </w:hyperlink>
        </w:p>
        <w:p w14:paraId="2018C562" w14:textId="62ACD8E5" w:rsidR="002B40EB" w:rsidRDefault="00DE6AE6">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Pr>
                <w:noProof/>
                <w:webHidden/>
              </w:rPr>
              <w:t>11</w:t>
            </w:r>
            <w:r w:rsidR="002B40EB">
              <w:rPr>
                <w:noProof/>
                <w:webHidden/>
              </w:rPr>
              <w:fldChar w:fldCharType="end"/>
            </w:r>
          </w:hyperlink>
        </w:p>
        <w:p w14:paraId="7158F293" w14:textId="3C132C4D" w:rsidR="002B40EB" w:rsidRDefault="00DE6AE6">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Pr>
                <w:noProof/>
                <w:webHidden/>
              </w:rPr>
              <w:t>12</w:t>
            </w:r>
            <w:r w:rsidR="002B40EB">
              <w:rPr>
                <w:noProof/>
                <w:webHidden/>
              </w:rPr>
              <w:fldChar w:fldCharType="end"/>
            </w:r>
          </w:hyperlink>
        </w:p>
        <w:p w14:paraId="7C5EF785" w14:textId="38016336" w:rsidR="002B40EB" w:rsidRDefault="00DE6AE6">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Pr>
                <w:noProof/>
                <w:webHidden/>
              </w:rPr>
              <w:t>12</w:t>
            </w:r>
            <w:r w:rsidR="002B40EB">
              <w:rPr>
                <w:noProof/>
                <w:webHidden/>
              </w:rPr>
              <w:fldChar w:fldCharType="end"/>
            </w:r>
          </w:hyperlink>
        </w:p>
        <w:p w14:paraId="624AAEE9" w14:textId="669165FF" w:rsidR="002B40EB" w:rsidRDefault="00DE6AE6">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Pr>
                <w:noProof/>
                <w:webHidden/>
              </w:rPr>
              <w:t>12</w:t>
            </w:r>
            <w:r w:rsidR="002B40EB">
              <w:rPr>
                <w:noProof/>
                <w:webHidden/>
              </w:rPr>
              <w:fldChar w:fldCharType="end"/>
            </w:r>
          </w:hyperlink>
        </w:p>
        <w:p w14:paraId="66251BC0" w14:textId="500C65B8" w:rsidR="002B40EB" w:rsidRDefault="00DE6AE6">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Pr>
                <w:noProof/>
                <w:webHidden/>
              </w:rPr>
              <w:t>13</w:t>
            </w:r>
            <w:r w:rsidR="002B40EB">
              <w:rPr>
                <w:noProof/>
                <w:webHidden/>
              </w:rPr>
              <w:fldChar w:fldCharType="end"/>
            </w:r>
          </w:hyperlink>
        </w:p>
        <w:p w14:paraId="38A67F4C" w14:textId="5486901B" w:rsidR="002B40EB" w:rsidRDefault="00DE6AE6">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Pr>
                <w:noProof/>
                <w:webHidden/>
              </w:rPr>
              <w:t>13</w:t>
            </w:r>
            <w:r w:rsidR="002B40EB">
              <w:rPr>
                <w:noProof/>
                <w:webHidden/>
              </w:rPr>
              <w:fldChar w:fldCharType="end"/>
            </w:r>
          </w:hyperlink>
        </w:p>
        <w:p w14:paraId="35261A0D" w14:textId="1B688E82" w:rsidR="002B40EB" w:rsidRDefault="00DE6AE6">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FD1DA5">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Pr>
                <w:noProof/>
                <w:webHidden/>
              </w:rPr>
              <w:t>14</w:t>
            </w:r>
            <w:r w:rsidR="002B40EB">
              <w:rPr>
                <w:noProof/>
                <w:webHidden/>
              </w:rPr>
              <w:fldChar w:fldCharType="end"/>
            </w:r>
          </w:hyperlink>
        </w:p>
        <w:p w14:paraId="11C239C5" w14:textId="68995105" w:rsidR="002B40EB" w:rsidRDefault="00DE6AE6">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Pr>
                <w:noProof/>
                <w:webHidden/>
              </w:rPr>
              <w:t>15</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A4F186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w:t>
      </w:r>
      <w:r w:rsidR="00FD1DA5">
        <w:rPr>
          <w:rFonts w:ascii="Arial" w:hAnsi="Arial" w:cs="Arial"/>
        </w:rPr>
        <w:t>e</w:t>
      </w:r>
      <w:r w:rsidRPr="009F1AF9">
        <w:rPr>
          <w:rFonts w:ascii="Arial" w:hAnsi="Arial" w:cs="Arial"/>
        </w:rPr>
        <w:t xml:space="preserv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873D6A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w:t>
      </w:r>
      <w:r w:rsidR="005F3E2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039EE5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F1A7F8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66E2B9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5F3E28">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356E0E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1BA285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5F3E28">
        <w:rPr>
          <w:rFonts w:ascii="Arial" w:eastAsia="Calibri" w:hAnsi="Arial" w:cs="Arial"/>
        </w:rPr>
        <w:t>.</w:t>
      </w:r>
    </w:p>
    <w:p w14:paraId="2D28879B" w14:textId="6114A08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F3E28">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6F5FB1A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2834A05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1176A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19FEA1B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4346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5F3E28">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168C46A"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5F3E28">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5F3E28">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5F3E28">
        <w:rPr>
          <w:rFonts w:ascii="Arial" w:hAnsi="Arial" w:cs="Arial"/>
        </w:rPr>
        <w:t>.</w:t>
      </w:r>
    </w:p>
    <w:p w14:paraId="28AA7508" w14:textId="77777777" w:rsidR="005F3E28" w:rsidRPr="009F1AF9" w:rsidRDefault="005F3E28" w:rsidP="005F3E28">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DBEC59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5F3E28">
        <w:rPr>
          <w:rFonts w:ascii="Arial" w:hAnsi="Arial" w:cs="Arial"/>
        </w:rPr>
        <w:t xml:space="preserve"> </w:t>
      </w:r>
      <w:r w:rsidR="00D22E75" w:rsidRPr="4C80E3E9">
        <w:rPr>
          <w:rFonts w:ascii="Arial" w:hAnsi="Arial" w:cs="Arial"/>
        </w:rPr>
        <w:t xml:space="preserve">excluding VAT the Clerk shall seek at least </w:t>
      </w:r>
      <w:r w:rsidR="00937FEA">
        <w:rPr>
          <w:rFonts w:ascii="Arial" w:hAnsi="Arial" w:cs="Arial"/>
        </w:rPr>
        <w:t xml:space="preserve">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90149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19A4B3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CEBB5E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937FEA">
        <w:rPr>
          <w:rFonts w:ascii="Arial" w:hAnsi="Arial" w:cs="Arial"/>
        </w:rPr>
        <w:t xml:space="preserve">1000.00 </w:t>
      </w:r>
      <w:r w:rsidRPr="009F1AF9">
        <w:rPr>
          <w:rFonts w:ascii="Arial" w:hAnsi="Arial" w:cs="Arial"/>
        </w:rPr>
        <w:t xml:space="preserve">excluding VAT. </w:t>
      </w:r>
    </w:p>
    <w:p w14:paraId="66B160C5" w14:textId="7B97221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937FEA">
        <w:rPr>
          <w:rFonts w:ascii="Arial" w:hAnsi="Arial" w:cs="Arial"/>
        </w:rPr>
        <w:t xml:space="preserve">, </w:t>
      </w:r>
      <w:r w:rsidRPr="009F1AF9">
        <w:rPr>
          <w:rFonts w:ascii="Arial" w:hAnsi="Arial" w:cs="Arial"/>
        </w:rPr>
        <w:t>for any items below £2,000</w:t>
      </w:r>
      <w:r w:rsidR="00937FEA">
        <w:rPr>
          <w:rFonts w:ascii="Arial" w:hAnsi="Arial" w:cs="Arial"/>
        </w:rPr>
        <w:t xml:space="preserve"> </w:t>
      </w:r>
      <w:r w:rsidRPr="009F1AF9">
        <w:rPr>
          <w:rFonts w:ascii="Arial" w:hAnsi="Arial" w:cs="Arial"/>
        </w:rPr>
        <w:t>excluding VAT.</w:t>
      </w:r>
    </w:p>
    <w:p w14:paraId="3DDA5177" w14:textId="5193F00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937FEA">
        <w:rPr>
          <w:rFonts w:ascii="Arial" w:hAnsi="Arial" w:cs="Arial"/>
        </w:rPr>
        <w:t xml:space="preserve"> </w:t>
      </w:r>
      <w:r w:rsidRPr="009F1AF9">
        <w:rPr>
          <w:rFonts w:ascii="Arial" w:hAnsi="Arial" w:cs="Arial"/>
        </w:rPr>
        <w:t>excluding VAT</w:t>
      </w:r>
      <w:r w:rsidR="00937FEA">
        <w:rPr>
          <w:rFonts w:ascii="Arial" w:hAnsi="Arial" w:cs="Arial"/>
        </w:rPr>
        <w:t>.</w:t>
      </w:r>
    </w:p>
    <w:p w14:paraId="3DF2815D" w14:textId="2E653B6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0DF02BD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937FEA">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800E14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w:t>
      </w:r>
      <w:r w:rsidR="00937FEA">
        <w:rPr>
          <w:rFonts w:ascii="Arial" w:hAnsi="Arial" w:cs="Arial"/>
        </w:rPr>
        <w:t xml:space="preserve"> </w:t>
      </w:r>
      <w:r w:rsidR="00D22E75" w:rsidRPr="4C80E3E9">
        <w:rPr>
          <w:rFonts w:ascii="Arial" w:hAnsi="Arial" w:cs="Arial"/>
        </w:rPr>
        <w:t>or make any contract on behalf of the council.</w:t>
      </w:r>
    </w:p>
    <w:p w14:paraId="0D756A47" w14:textId="44CFA98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FA01C0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937FEA">
        <w:rPr>
          <w:rFonts w:ascii="Arial" w:hAnsi="Arial" w:cs="Arial"/>
        </w:rPr>
        <w:t xml:space="preserve"> </w:t>
      </w:r>
      <w:r w:rsidRPr="4C80E3E9">
        <w:rPr>
          <w:rFonts w:ascii="Arial" w:hAnsi="Arial" w:cs="Arial"/>
        </w:rPr>
        <w:t xml:space="preserve">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w:t>
      </w:r>
      <w:r w:rsidR="00937FEA">
        <w:rPr>
          <w:rFonts w:ascii="Arial" w:hAnsi="Arial" w:cs="Arial"/>
        </w:rPr>
        <w:t xml:space="preserve"> </w:t>
      </w:r>
      <w:r w:rsidRPr="4C80E3E9">
        <w:rPr>
          <w:rFonts w:ascii="Arial" w:hAnsi="Arial" w:cs="Arial"/>
        </w:rPr>
        <w:t>as soon as practicable thereafter.</w:t>
      </w:r>
    </w:p>
    <w:p w14:paraId="1D353FEC" w14:textId="479C0FF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w:t>
      </w:r>
      <w:r w:rsidR="00937FEA">
        <w:rPr>
          <w:rFonts w:ascii="Arial" w:hAnsi="Arial" w:cs="Arial"/>
        </w:rPr>
        <w:t xml:space="preserve"> </w:t>
      </w:r>
      <w:r w:rsidRPr="4C80E3E9">
        <w:rPr>
          <w:rFonts w:ascii="Arial" w:hAnsi="Arial" w:cs="Arial"/>
        </w:rPr>
        <w:t>is satisfied that the necessary funds are available and that where a loan is required, Government borrowing approval has been obtained first.</w:t>
      </w:r>
    </w:p>
    <w:p w14:paraId="608D28D1" w14:textId="73548DF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w:t>
      </w:r>
      <w:r w:rsidR="00937FEA">
        <w:rPr>
          <w:rFonts w:ascii="Arial" w:hAnsi="Arial" w:cs="Arial"/>
        </w:rPr>
        <w:t xml:space="preserve">£1000.00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7811BD4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937FEA">
        <w:rPr>
          <w:rFonts w:ascii="Arial" w:hAnsi="Arial" w:cs="Arial"/>
        </w:rPr>
        <w:t xml:space="preserve">the </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937FEA">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792307E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937FEA">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937FEA">
        <w:rPr>
          <w:rFonts w:ascii="Arial" w:hAnsi="Arial" w:cs="Arial"/>
        </w:rPr>
        <w:t xml:space="preserve"> </w:t>
      </w:r>
      <w:r w:rsidR="00EE2C29" w:rsidRPr="009F1AF9">
        <w:rPr>
          <w:rFonts w:ascii="Arial" w:hAnsi="Arial" w:cs="Arial"/>
        </w:rPr>
        <w:t>resolves to use a different payment method.</w:t>
      </w:r>
    </w:p>
    <w:p w14:paraId="5D4E5B2F" w14:textId="41E97EA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937FEA">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lastRenderedPageBreak/>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4445B97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62453C8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37FEA">
        <w:rPr>
          <w:rFonts w:ascii="Arial" w:hAnsi="Arial" w:cs="Arial"/>
        </w:rPr>
        <w:t>10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299ACC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937FEA">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96D044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certify that there is no dispute or other reason to delay payment, provided that a list of such payments shall be submitted to the next appropriate meeting of council</w:t>
      </w:r>
      <w:r w:rsidR="00937FEA">
        <w:rPr>
          <w:rFonts w:ascii="Arial" w:hAnsi="Arial" w:cs="Arial"/>
        </w:rPr>
        <w:t>.</w:t>
      </w:r>
    </w:p>
    <w:p w14:paraId="65B86B2F" w14:textId="6365DB5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937FEA">
        <w:rPr>
          <w:rFonts w:ascii="Arial" w:hAnsi="Arial" w:cs="Arial"/>
        </w:rPr>
        <w:t>.</w:t>
      </w:r>
      <w:r w:rsidR="009B2323" w:rsidRPr="009F1AF9">
        <w:rPr>
          <w:rFonts w:ascii="Arial" w:hAnsi="Arial" w:cs="Arial"/>
        </w:rPr>
        <w:t xml:space="preserve"> </w:t>
      </w:r>
    </w:p>
    <w:p w14:paraId="4E34DA00" w14:textId="0E3798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937FEA">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5049B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497B87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w:t>
      </w:r>
      <w:r w:rsidR="00FD1DA5">
        <w:rPr>
          <w:rFonts w:ascii="Arial" w:hAnsi="Arial" w:cs="Arial"/>
        </w:rPr>
        <w:t xml:space="preserve">the </w:t>
      </w:r>
      <w:r w:rsidRPr="009F1AF9">
        <w:rPr>
          <w:rFonts w:ascii="Arial" w:hAnsi="Arial" w:cs="Arial"/>
        </w:rPr>
        <w:t xml:space="preserve">authorised signatories. </w:t>
      </w:r>
    </w:p>
    <w:p w14:paraId="650EAC7E" w14:textId="170CDBF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w:t>
      </w:r>
      <w:r w:rsidR="00FD1DA5">
        <w:rPr>
          <w:rFonts w:ascii="Arial" w:hAnsi="Arial" w:cs="Arial"/>
        </w:rPr>
        <w:t xml:space="preserve"> </w:t>
      </w:r>
      <w:r w:rsidRPr="009F1AF9">
        <w:rPr>
          <w:rFonts w:ascii="Arial" w:hAnsi="Arial" w:cs="Arial"/>
        </w:rPr>
        <w:t>shall set up any payments due before the return of the Service Administrator.</w:t>
      </w:r>
    </w:p>
    <w:p w14:paraId="7EFC4CF7" w14:textId="68357E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6360456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101B91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FD1DA5">
        <w:rPr>
          <w:rFonts w:ascii="Arial" w:hAnsi="Arial" w:cs="Arial"/>
        </w:rPr>
        <w:t xml:space="preserve"> </w:t>
      </w:r>
      <w:r w:rsidRPr="009F1AF9">
        <w:rPr>
          <w:rFonts w:ascii="Arial" w:hAnsi="Arial" w:cs="Arial"/>
        </w:rPr>
        <w:t>and appended to the minutes.</w:t>
      </w:r>
    </w:p>
    <w:p w14:paraId="3AEC2354" w14:textId="78DA1F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FD1DA5">
        <w:rPr>
          <w:rFonts w:ascii="Arial" w:hAnsi="Arial" w:cs="Arial"/>
        </w:rPr>
        <w:t xml:space="preserve"> </w:t>
      </w:r>
      <w:r w:rsidRPr="009F1AF9">
        <w:rPr>
          <w:rFonts w:ascii="Arial" w:hAnsi="Arial" w:cs="Arial"/>
        </w:rPr>
        <w:t>in each case, regular payments (such as gas, electricity, telephone, broadband, water, National Non-Domestic Rates, refuse collection, pension contributions and HMRC payments) may be made by variable direct debit, provided that the instructions are signed</w:t>
      </w:r>
      <w:r w:rsidR="00FD1DA5">
        <w:rPr>
          <w:rFonts w:ascii="Arial" w:hAnsi="Arial" w:cs="Arial"/>
        </w:rPr>
        <w:t xml:space="preserve"> / </w:t>
      </w:r>
      <w:r w:rsidRPr="009F1AF9">
        <w:rPr>
          <w:rFonts w:ascii="Arial" w:hAnsi="Arial" w:cs="Arial"/>
        </w:rPr>
        <w:t>approved online by two authorised members. The approval of the use of each variable direct debit shall be reviewed by the council</w:t>
      </w:r>
      <w:r w:rsidR="00FD1DA5">
        <w:rPr>
          <w:rFonts w:ascii="Arial" w:hAnsi="Arial" w:cs="Arial"/>
        </w:rPr>
        <w:t xml:space="preserve"> </w:t>
      </w:r>
      <w:r w:rsidRPr="009F1AF9">
        <w:rPr>
          <w:rFonts w:ascii="Arial" w:hAnsi="Arial" w:cs="Arial"/>
        </w:rPr>
        <w:t xml:space="preserve">at least every two years. </w:t>
      </w:r>
    </w:p>
    <w:p w14:paraId="10140EEE" w14:textId="5CFC0D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D95D8A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evidence of this is retained and any payments are reported to council when made. The approval of the use of a banker’s standing order shall be reviewed by the council at least every two years. </w:t>
      </w:r>
    </w:p>
    <w:p w14:paraId="0B7A1BA0" w14:textId="7BA8914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r w:rsidR="00FD1DA5">
        <w:rPr>
          <w:rFonts w:ascii="Arial" w:hAnsi="Arial" w:cs="Arial"/>
        </w:rPr>
        <w:t xml:space="preserve">by </w:t>
      </w:r>
      <w:r w:rsidRPr="009F1AF9">
        <w:rPr>
          <w:rFonts w:ascii="Arial" w:hAnsi="Arial" w:cs="Arial"/>
        </w:rPr>
        <w:t xml:space="preserve">the Clerk and a member.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00E15C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5B618A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FD1DA5">
        <w:rPr>
          <w:rFonts w:ascii="Arial" w:hAnsi="Arial" w:cs="Arial"/>
        </w:rPr>
        <w:t>two</w:t>
      </w:r>
      <w:r w:rsidRPr="009F1AF9">
        <w:rPr>
          <w:rFonts w:ascii="Arial" w:hAnsi="Arial" w:cs="Arial"/>
        </w:rPr>
        <w:t xml:space="preserve"> members</w:t>
      </w:r>
      <w:r w:rsidR="00FD1DA5">
        <w:rPr>
          <w:rFonts w:ascii="Arial" w:hAnsi="Arial" w:cs="Arial"/>
        </w:rPr>
        <w:t xml:space="preserve"> </w:t>
      </w:r>
      <w:r w:rsidRPr="009F1AF9">
        <w:rPr>
          <w:rFonts w:ascii="Arial" w:hAnsi="Arial" w:cs="Arial"/>
        </w:rPr>
        <w:t xml:space="preserve">and </w:t>
      </w:r>
      <w:r w:rsidR="00FD1DA5">
        <w:rPr>
          <w:rFonts w:ascii="Arial" w:hAnsi="Arial" w:cs="Arial"/>
        </w:rPr>
        <w:t xml:space="preserve">or one member and </w:t>
      </w:r>
      <w:r w:rsidRPr="009F1AF9">
        <w:rPr>
          <w:rFonts w:ascii="Arial" w:hAnsi="Arial" w:cs="Arial"/>
        </w:rPr>
        <w:t xml:space="preserve">countersigned by the Clerk. </w:t>
      </w:r>
    </w:p>
    <w:p w14:paraId="762E45B7" w14:textId="77777777" w:rsidR="006830B0" w:rsidRDefault="00D22E75" w:rsidP="006830B0">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777BA546" w14:textId="20B5B6B0" w:rsidR="00D22E75" w:rsidRPr="006830B0" w:rsidRDefault="00D22E75" w:rsidP="006830B0">
      <w:pPr>
        <w:pStyle w:val="ListParagraph"/>
        <w:numPr>
          <w:ilvl w:val="1"/>
          <w:numId w:val="21"/>
        </w:numPr>
        <w:spacing w:after="120"/>
        <w:contextualSpacing w:val="0"/>
        <w:rPr>
          <w:rFonts w:ascii="Arial" w:hAnsi="Arial" w:cs="Arial"/>
        </w:rPr>
      </w:pPr>
      <w:r w:rsidRPr="006830B0">
        <w:rPr>
          <w:rFonts w:ascii="Arial" w:hAnsi="Arial" w:cs="Arial"/>
        </w:rPr>
        <w:t xml:space="preserve">Any signatures obtained away from </w:t>
      </w:r>
      <w:r w:rsidR="00836827" w:rsidRPr="006830B0">
        <w:rPr>
          <w:rFonts w:ascii="Arial" w:hAnsi="Arial" w:cs="Arial"/>
        </w:rPr>
        <w:t xml:space="preserve">council </w:t>
      </w:r>
      <w:r w:rsidRPr="006830B0">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lastRenderedPageBreak/>
        <w:t>Payment cards</w:t>
      </w:r>
      <w:bookmarkEnd w:id="235"/>
    </w:p>
    <w:p w14:paraId="2B818385" w14:textId="0AE5B6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w:t>
      </w:r>
      <w:r w:rsidR="00FD1DA5">
        <w:rPr>
          <w:rFonts w:ascii="Arial" w:hAnsi="Arial" w:cs="Arial"/>
        </w:rPr>
        <w:t xml:space="preserve">0 </w:t>
      </w:r>
      <w:r w:rsidRPr="009F1AF9">
        <w:rPr>
          <w:rFonts w:ascii="Arial" w:hAnsi="Arial" w:cs="Arial"/>
        </w:rPr>
        <w:t>unless authorised by council in writing before any order is placed.</w:t>
      </w:r>
    </w:p>
    <w:p w14:paraId="3DDC07C8" w14:textId="066FFD0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£5</w:t>
      </w:r>
      <w:r w:rsidR="006830B0">
        <w:rPr>
          <w:rFonts w:ascii="Arial" w:hAnsi="Arial" w:cs="Arial"/>
        </w:rPr>
        <w:t>0</w:t>
      </w:r>
      <w:r w:rsidRPr="009F1AF9">
        <w:rPr>
          <w:rFonts w:ascii="Arial" w:hAnsi="Arial" w:cs="Arial"/>
        </w:rPr>
        <w:t>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70B7E31D" w:rsidR="009E68C5" w:rsidRPr="009F1AF9" w:rsidRDefault="009E68C5" w:rsidP="00FD1DA5">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3BD9D6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w:t>
      </w:r>
      <w:proofErr w:type="gramStart"/>
      <w:r w:rsidRPr="009F1AF9">
        <w:rPr>
          <w:rFonts w:ascii="Arial" w:hAnsi="Arial" w:cs="Arial"/>
        </w:rPr>
        <w:t>the such</w:t>
      </w:r>
      <w:proofErr w:type="gramEnd"/>
      <w:r w:rsidRPr="009F1AF9">
        <w:rPr>
          <w:rFonts w:ascii="Arial" w:hAnsi="Arial" w:cs="Arial"/>
        </w:rPr>
        <w:t xml:space="preserve">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99A2016"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6830B0">
        <w:rPr>
          <w:rFonts w:ascii="Arial" w:hAnsi="Arial" w:cs="Arial"/>
        </w:rPr>
        <w:t xml:space="preserve"> </w:t>
      </w:r>
      <w:r w:rsidR="00C31BB7" w:rsidRPr="009F1AF9">
        <w:rPr>
          <w:rFonts w:ascii="Arial" w:hAnsi="Arial" w:cs="Arial"/>
        </w:rPr>
        <w:t>shall be responsible for the collection of all amounts due to the council.</w:t>
      </w:r>
    </w:p>
    <w:p w14:paraId="55CDABED" w14:textId="55E104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 RFO</w:t>
      </w:r>
      <w:r w:rsidR="006830B0">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4C4D89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6830B0">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EB4DA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15BF57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shall be responsible for the care and custody of stores and equipment</w:t>
      </w:r>
      <w:r w:rsidR="006830B0">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5D4171B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4ABED0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EC379A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w:t>
      </w:r>
      <w:r w:rsidR="006830B0">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107A5B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6830B0">
        <w:rPr>
          <w:rFonts w:ascii="Arial" w:hAnsi="Arial" w:cs="Arial"/>
        </w:rPr>
        <w:t>.</w:t>
      </w:r>
    </w:p>
    <w:p w14:paraId="0213EA01" w14:textId="11A7957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lastRenderedPageBreak/>
        <w:t>Suspension and revision of Financial Regulations</w:t>
      </w:r>
      <w:bookmarkEnd w:id="507"/>
    </w:p>
    <w:p w14:paraId="48E507C1" w14:textId="585BE70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F766F7"/>
    <w:multiLevelType w:val="multilevel"/>
    <w:tmpl w:val="D644A906"/>
    <w:lvl w:ilvl="0">
      <w:start w:val="8"/>
      <w:numFmt w:val="decimal"/>
      <w:lvlText w:val="%1"/>
      <w:lvlJc w:val="left"/>
      <w:pPr>
        <w:ind w:left="360" w:hanging="360"/>
      </w:pPr>
      <w:rPr>
        <w:rFonts w:ascii="Arial" w:hAnsi="Arial" w:cs="Arial" w:hint="default"/>
      </w:rPr>
    </w:lvl>
    <w:lvl w:ilvl="1">
      <w:start w:val="3"/>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6000676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3E28"/>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30B0"/>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37FEA"/>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775"/>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E6AE6"/>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1DA5"/>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5155</Words>
  <Characters>29387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Emma Fulham</cp:lastModifiedBy>
  <cp:revision>2</cp:revision>
  <cp:lastPrinted>2024-04-25T09:10:00Z</cp:lastPrinted>
  <dcterms:created xsi:type="dcterms:W3CDTF">2024-05-16T17:14:00Z</dcterms:created>
  <dcterms:modified xsi:type="dcterms:W3CDTF">2024-05-16T17:14:00Z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